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3A026" w14:textId="77777777" w:rsidR="00EB0034" w:rsidRDefault="00785EB6">
      <w:pPr>
        <w:tabs>
          <w:tab w:val="left" w:pos="2520"/>
        </w:tabs>
        <w:spacing w:after="0" w:line="276" w:lineRule="auto"/>
        <w:rPr>
          <w:rFonts w:ascii="Times New Roman" w:eastAsia="Times New Roman" w:hAnsi="Times New Roman" w:cs="Times New Roman"/>
          <w:b/>
          <w:color w:val="073763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8F6170" wp14:editId="5699F2B5">
            <wp:simplePos x="0" y="0"/>
            <wp:positionH relativeFrom="column">
              <wp:posOffset>5797242</wp:posOffset>
            </wp:positionH>
            <wp:positionV relativeFrom="paragraph">
              <wp:posOffset>136102</wp:posOffset>
            </wp:positionV>
            <wp:extent cx="1108383" cy="1086861"/>
            <wp:effectExtent l="0" t="0" r="0" b="0"/>
            <wp:wrapNone/>
            <wp:docPr id="1" name="image1.png" descr="Text Bo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 Box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383" cy="10868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85"/>
        <w:gridCol w:w="3615"/>
        <w:gridCol w:w="1920"/>
        <w:gridCol w:w="3480"/>
      </w:tblGrid>
      <w:tr w:rsidR="00EB0034" w14:paraId="7136FB5E" w14:textId="77777777">
        <w:trPr>
          <w:trHeight w:val="420"/>
        </w:trPr>
        <w:tc>
          <w:tcPr>
            <w:tcW w:w="108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A4D4" w14:textId="77777777" w:rsidR="00EB0034" w:rsidRDefault="00785EB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  <w:sz w:val="56"/>
                <w:szCs w:val="56"/>
              </w:rPr>
              <w:t>Coonabarabran High School</w:t>
            </w:r>
          </w:p>
          <w:p w14:paraId="3AD71662" w14:textId="77777777" w:rsidR="00EB0034" w:rsidRDefault="00785EB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7376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73763"/>
                <w:sz w:val="32"/>
                <w:szCs w:val="32"/>
              </w:rPr>
              <w:t>IN-CLASS ASSESSMENT NOTIFICATION</w:t>
            </w:r>
          </w:p>
          <w:p w14:paraId="68827E5F" w14:textId="77777777" w:rsidR="00EB0034" w:rsidRDefault="00EB0034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</w:p>
        </w:tc>
      </w:tr>
      <w:tr w:rsidR="00EB0034" w14:paraId="2B843F98" w14:textId="77777777">
        <w:tc>
          <w:tcPr>
            <w:tcW w:w="178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44D3" w14:textId="77777777" w:rsidR="00EB0034" w:rsidRDefault="00785EB6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Subject:</w:t>
            </w:r>
          </w:p>
        </w:tc>
        <w:tc>
          <w:tcPr>
            <w:tcW w:w="361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4046" w14:textId="7EEC8A65" w:rsidR="00EB0034" w:rsidRDefault="001B2CD9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Year 9 Mathematics</w:t>
            </w:r>
          </w:p>
        </w:tc>
        <w:tc>
          <w:tcPr>
            <w:tcW w:w="19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8D4E" w14:textId="77777777" w:rsidR="00EB0034" w:rsidRDefault="00F31855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Due date:</w:t>
            </w:r>
          </w:p>
        </w:tc>
        <w:tc>
          <w:tcPr>
            <w:tcW w:w="348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B4F1" w14:textId="4D5764BD" w:rsidR="00EB0034" w:rsidRDefault="0012208E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12</w:t>
            </w:r>
            <w:r w:rsidR="00A910B9" w:rsidRPr="00A910B9">
              <w:rPr>
                <w:rFonts w:ascii="Times New Roman" w:eastAsia="Times New Roman" w:hAnsi="Times New Roman" w:cs="Times New Roman"/>
                <w:b/>
                <w:color w:val="073763"/>
                <w:vertAlign w:val="superscript"/>
              </w:rPr>
              <w:t>th</w:t>
            </w:r>
            <w:r w:rsidR="00A910B9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November</w:t>
            </w:r>
            <w:r w:rsidR="00A910B9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2024</w:t>
            </w:r>
          </w:p>
        </w:tc>
      </w:tr>
      <w:tr w:rsidR="00EB0034" w14:paraId="2A092162" w14:textId="77777777">
        <w:tc>
          <w:tcPr>
            <w:tcW w:w="178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6CFC" w14:textId="77777777" w:rsidR="00EB0034" w:rsidRDefault="00785EB6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Teacher:</w:t>
            </w:r>
          </w:p>
        </w:tc>
        <w:tc>
          <w:tcPr>
            <w:tcW w:w="361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B875" w14:textId="3835C851" w:rsidR="00EB0034" w:rsidRDefault="001B2CD9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Mr Eshman, Mrs Atkinson</w:t>
            </w:r>
          </w:p>
        </w:tc>
        <w:tc>
          <w:tcPr>
            <w:tcW w:w="19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2579" w14:textId="77777777" w:rsidR="00EB0034" w:rsidRDefault="00F31855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Notification date:</w:t>
            </w:r>
          </w:p>
        </w:tc>
        <w:tc>
          <w:tcPr>
            <w:tcW w:w="348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87A8" w14:textId="41466FF4" w:rsidR="00EB0034" w:rsidRDefault="0012208E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31</w:t>
            </w:r>
            <w:r w:rsidRPr="0012208E">
              <w:rPr>
                <w:rFonts w:ascii="Times New Roman" w:eastAsia="Times New Roman" w:hAnsi="Times New Roman" w:cs="Times New Roman"/>
                <w:b/>
                <w:color w:val="073763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</w:t>
            </w:r>
            <w:r w:rsidR="001D2D28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October</w:t>
            </w:r>
            <w:r w:rsidR="00825291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2024</w:t>
            </w:r>
          </w:p>
        </w:tc>
      </w:tr>
      <w:tr w:rsidR="00EB0034" w14:paraId="4D650CD3" w14:textId="77777777">
        <w:tc>
          <w:tcPr>
            <w:tcW w:w="178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6F10" w14:textId="77777777" w:rsidR="00EB0034" w:rsidRDefault="00F31855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Exam Length:</w:t>
            </w:r>
          </w:p>
        </w:tc>
        <w:tc>
          <w:tcPr>
            <w:tcW w:w="3615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9712" w14:textId="1BCC8962" w:rsidR="00EB0034" w:rsidRDefault="0012208E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65</w:t>
            </w:r>
            <w:r w:rsidR="00341AF3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minutes</w:t>
            </w:r>
          </w:p>
        </w:tc>
        <w:tc>
          <w:tcPr>
            <w:tcW w:w="192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7AB5" w14:textId="77777777" w:rsidR="00EB0034" w:rsidRDefault="00F31855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Weighting:</w:t>
            </w:r>
          </w:p>
        </w:tc>
        <w:tc>
          <w:tcPr>
            <w:tcW w:w="348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648C" w14:textId="1217E5EE" w:rsidR="00EB0034" w:rsidRDefault="0012208E">
            <w:pPr>
              <w:tabs>
                <w:tab w:val="left" w:pos="25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3</w:t>
            </w:r>
            <w:r w:rsidR="00341AF3">
              <w:rPr>
                <w:rFonts w:ascii="Times New Roman" w:eastAsia="Times New Roman" w:hAnsi="Times New Roman" w:cs="Times New Roman"/>
                <w:b/>
                <w:color w:val="073763"/>
              </w:rPr>
              <w:t>0%</w:t>
            </w:r>
          </w:p>
        </w:tc>
      </w:tr>
      <w:tr w:rsidR="00EB0034" w14:paraId="059753AC" w14:textId="77777777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C917" w14:textId="7F8F6F0C" w:rsidR="00EB0034" w:rsidRDefault="0033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Topics</w:t>
            </w:r>
            <w:r w:rsidR="00785EB6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to be assessed:</w:t>
            </w:r>
          </w:p>
        </w:tc>
      </w:tr>
      <w:tr w:rsidR="0012208E" w14:paraId="35F6DD86" w14:textId="77777777" w:rsidTr="00D603A5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6112" w14:textId="12D8B942" w:rsidR="0012208E" w:rsidRDefault="0012208E" w:rsidP="0012208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Common Content</w:t>
            </w:r>
          </w:p>
          <w:p w14:paraId="1F47CC61" w14:textId="701AD014" w:rsidR="0012208E" w:rsidRDefault="0012208E" w:rsidP="0012208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(Core Content)</w:t>
            </w:r>
          </w:p>
          <w:p w14:paraId="3FF4254C" w14:textId="202EF165" w:rsidR="0012208E" w:rsidRDefault="001220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Area and Volume</w:t>
            </w:r>
          </w:p>
          <w:p w14:paraId="1447B592" w14:textId="77777777" w:rsidR="0012208E" w:rsidRDefault="001220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Linear Relationships</w:t>
            </w:r>
          </w:p>
          <w:p w14:paraId="4B99EBA4" w14:textId="77777777" w:rsidR="0012208E" w:rsidRDefault="001220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Similar Figures</w:t>
            </w:r>
          </w:p>
          <w:p w14:paraId="0B22E08A" w14:textId="21F83F1C" w:rsidR="0012208E" w:rsidRDefault="001220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Probability</w:t>
            </w:r>
          </w:p>
          <w:p w14:paraId="19719892" w14:textId="62277E8E" w:rsidR="0012208E" w:rsidRPr="0012208E" w:rsidRDefault="0012208E" w:rsidP="0012208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Algebra and Equations</w:t>
            </w:r>
          </w:p>
        </w:tc>
      </w:tr>
      <w:tr w:rsidR="0012208E" w14:paraId="4E35C30B" w14:textId="77777777" w:rsidTr="0022179D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8918" w14:textId="77777777" w:rsidR="0012208E" w:rsidRDefault="0012208E" w:rsidP="001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Mrs Atkinson’s Class</w:t>
            </w:r>
          </w:p>
          <w:p w14:paraId="7BE96CB3" w14:textId="77777777" w:rsidR="0012208E" w:rsidRDefault="0012208E" w:rsidP="001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(Path Content)</w:t>
            </w:r>
          </w:p>
          <w:p w14:paraId="7965FE1C" w14:textId="77777777" w:rsidR="0012208E" w:rsidRDefault="0012208E" w:rsidP="001220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Quadratic Expressions</w:t>
            </w:r>
          </w:p>
          <w:p w14:paraId="4D1D01EE" w14:textId="77777777" w:rsidR="0012208E" w:rsidRDefault="0012208E" w:rsidP="001220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Algebraic Fractions</w:t>
            </w:r>
          </w:p>
          <w:p w14:paraId="1F6A5B1A" w14:textId="35D6F744" w:rsidR="0012208E" w:rsidRPr="0012208E" w:rsidRDefault="0012208E" w:rsidP="001220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Quadratic Equations</w:t>
            </w:r>
          </w:p>
        </w:tc>
      </w:tr>
      <w:tr w:rsidR="00334CF0" w14:paraId="5A80F2FA" w14:textId="77777777" w:rsidTr="0027308C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DBE7" w14:textId="77777777" w:rsidR="00334CF0" w:rsidRDefault="00334CF0" w:rsidP="002730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Outcomes to be assessed:</w:t>
            </w:r>
          </w:p>
        </w:tc>
      </w:tr>
      <w:tr w:rsidR="00334CF0" w14:paraId="4340E20F" w14:textId="77777777" w:rsidTr="0027308C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D508" w14:textId="7F2047F3" w:rsidR="0012208E" w:rsidRDefault="0012208E" w:rsidP="0012208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Core Content</w:t>
            </w:r>
          </w:p>
          <w:p w14:paraId="6D4BD287" w14:textId="4FAD837B" w:rsidR="00334CF0" w:rsidRDefault="00DF44B9" w:rsidP="002730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MAO-WM-01</w:t>
            </w:r>
            <w:r w:rsidR="00D77AF2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develops understanding and fluency in mathematics through exploring and connecting </w:t>
            </w:r>
            <w:r w:rsidR="00616A7D">
              <w:rPr>
                <w:rFonts w:ascii="Times New Roman" w:eastAsia="Times New Roman" w:hAnsi="Times New Roman" w:cs="Times New Roman"/>
                <w:b/>
                <w:color w:val="073763"/>
              </w:rPr>
              <w:t>mathematical concepts, choosing and applying mathematical techniques to solve problems, and communicating their thinking a</w:t>
            </w:r>
            <w:r w:rsidR="00A74FFE">
              <w:rPr>
                <w:rFonts w:ascii="Times New Roman" w:eastAsia="Times New Roman" w:hAnsi="Times New Roman" w:cs="Times New Roman"/>
                <w:b/>
                <w:color w:val="073763"/>
              </w:rPr>
              <w:t>nd reasoning coherently and clearly.</w:t>
            </w:r>
          </w:p>
          <w:p w14:paraId="33287DA8" w14:textId="77777777" w:rsidR="00A74FFE" w:rsidRDefault="00A74FFE" w:rsidP="002730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MA5</w:t>
            </w:r>
            <w:r w:rsidR="00BF2680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-ARE-01 solves problems involving the surface area of right prisms and practical problems </w:t>
            </w:r>
            <w:r w:rsidR="0034299E">
              <w:rPr>
                <w:rFonts w:ascii="Times New Roman" w:eastAsia="Times New Roman" w:hAnsi="Times New Roman" w:cs="Times New Roman"/>
                <w:b/>
                <w:color w:val="073763"/>
              </w:rPr>
              <w:t>involving the area of composite shapes and solids.</w:t>
            </w:r>
          </w:p>
          <w:p w14:paraId="3CD9EE83" w14:textId="77777777" w:rsidR="006F22C9" w:rsidRDefault="006F22C9" w:rsidP="002730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MA5-VOL-C-01 solves problems involving the volume of composite soli</w:t>
            </w:r>
            <w:r w:rsidR="00E52AE6">
              <w:rPr>
                <w:rFonts w:ascii="Times New Roman" w:eastAsia="Times New Roman" w:hAnsi="Times New Roman" w:cs="Times New Roman"/>
                <w:b/>
                <w:color w:val="073763"/>
              </w:rPr>
              <w:t>ds consisting of right prisms and cylinders</w:t>
            </w:r>
          </w:p>
          <w:p w14:paraId="0626B035" w14:textId="77777777" w:rsidR="00E52AE6" w:rsidRDefault="00E52AE6" w:rsidP="002730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MA5-LIN-C-01 </w:t>
            </w:r>
            <w:r w:rsidR="00B4104A" w:rsidRPr="00CA2D84">
              <w:rPr>
                <w:rFonts w:ascii="Times New Roman" w:eastAsia="Times New Roman" w:hAnsi="Times New Roman" w:cs="Times New Roman"/>
                <w:b/>
                <w:color w:val="073763"/>
              </w:rPr>
              <w:t>determines</w:t>
            </w:r>
            <w:r w:rsidR="00B4104A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the midpoint, gradient and length of an interval, and graphs of linear relationships, with and without digital tools</w:t>
            </w:r>
          </w:p>
          <w:p w14:paraId="4D86B608" w14:textId="77777777" w:rsidR="0011196A" w:rsidRDefault="0011196A" w:rsidP="002730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MA5-LIN-C-02 </w:t>
            </w:r>
            <w:r w:rsidR="004106FE">
              <w:rPr>
                <w:rFonts w:ascii="Times New Roman" w:eastAsia="Times New Roman" w:hAnsi="Times New Roman" w:cs="Times New Roman"/>
                <w:b/>
                <w:color w:val="073763"/>
              </w:rPr>
              <w:t>graphs and interprets linear relationships using the gradient/slope-intercept form</w:t>
            </w:r>
          </w:p>
          <w:p w14:paraId="6CCB814C" w14:textId="23887796" w:rsidR="00F4028C" w:rsidRDefault="00F4028C" w:rsidP="0027308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MA5-</w:t>
            </w:r>
            <w:r w:rsidR="005457F3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RAT-P-02 analyses and </w:t>
            </w:r>
            <w:r w:rsidR="00FF6FCF">
              <w:rPr>
                <w:rFonts w:ascii="Times New Roman" w:eastAsia="Times New Roman" w:hAnsi="Times New Roman" w:cs="Times New Roman"/>
                <w:b/>
                <w:color w:val="073763"/>
              </w:rPr>
              <w:t>constructs</w:t>
            </w:r>
            <w:r w:rsidR="005457F3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graphs relating to rates </w:t>
            </w:r>
            <w:r w:rsidR="00FF6FCF">
              <w:rPr>
                <w:rFonts w:ascii="Times New Roman" w:eastAsia="Times New Roman" w:hAnsi="Times New Roman" w:cs="Times New Roman"/>
                <w:b/>
                <w:color w:val="073763"/>
              </w:rPr>
              <w:t>of change</w:t>
            </w:r>
          </w:p>
          <w:p w14:paraId="456080DF" w14:textId="77777777" w:rsidR="0012208E" w:rsidRDefault="0012208E" w:rsidP="0012208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73763"/>
              </w:rPr>
            </w:pPr>
          </w:p>
          <w:p w14:paraId="0C3F68B8" w14:textId="5D97CC60" w:rsidR="0012208E" w:rsidRDefault="0012208E" w:rsidP="0012208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Path Content</w:t>
            </w:r>
          </w:p>
          <w:p w14:paraId="0D4680FF" w14:textId="31CBCF3D" w:rsidR="006D5CDB" w:rsidRPr="006D5CDB" w:rsidRDefault="006D5CDB" w:rsidP="006D5C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 w:rsidRPr="006D5CDB">
              <w:rPr>
                <w:rFonts w:ascii="Times New Roman" w:eastAsia="Times New Roman" w:hAnsi="Times New Roman" w:cs="Times New Roman"/>
                <w:b/>
                <w:color w:val="073763"/>
              </w:rPr>
              <w:t>MA5-ALG-C-01 simplifies algebraic fractions with numerical denominators and expands algebraic expressions</w:t>
            </w:r>
          </w:p>
          <w:p w14:paraId="64CF5BB9" w14:textId="36C4C81D" w:rsidR="006D5CDB" w:rsidRPr="006D5CDB" w:rsidRDefault="006D5CDB" w:rsidP="006D5C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 w:rsidRPr="006D5CDB">
              <w:rPr>
                <w:rFonts w:ascii="Times New Roman" w:eastAsia="Times New Roman" w:hAnsi="Times New Roman" w:cs="Times New Roman"/>
                <w:b/>
                <w:color w:val="073763"/>
              </w:rPr>
              <w:t>MA5-ALG-P-01 simplifies algebraic fractions involving indices, and expands and factorises algebraic expressions (Path: Adv)</w:t>
            </w:r>
          </w:p>
          <w:p w14:paraId="5BFFCC4C" w14:textId="77777777" w:rsidR="0012208E" w:rsidRDefault="006D5CDB" w:rsidP="006D5CD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 w:rsidRPr="006D5CDB">
              <w:rPr>
                <w:rFonts w:ascii="Times New Roman" w:eastAsia="Times New Roman" w:hAnsi="Times New Roman" w:cs="Times New Roman"/>
                <w:b/>
                <w:color w:val="073763"/>
              </w:rPr>
              <w:t>MA5-EQU-P-01 solves monic quadratic equations, linear inequalities and cubic equations of the form  (Path: Adv)</w:t>
            </w:r>
          </w:p>
          <w:p w14:paraId="4431D9F2" w14:textId="77777777" w:rsidR="006D5CDB" w:rsidRDefault="006D5CDB" w:rsidP="006D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</w:p>
          <w:p w14:paraId="0787B231" w14:textId="77777777" w:rsidR="006D5CDB" w:rsidRDefault="006D5CDB" w:rsidP="006D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</w:p>
          <w:p w14:paraId="1FF6344B" w14:textId="4782FF44" w:rsidR="006D5CDB" w:rsidRPr="006D5CDB" w:rsidRDefault="006D5CDB" w:rsidP="006D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</w:p>
        </w:tc>
      </w:tr>
      <w:tr w:rsidR="00F31855" w14:paraId="613D7834" w14:textId="77777777" w:rsidTr="00F62E9C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79B2" w14:textId="77777777" w:rsidR="00F31855" w:rsidRDefault="001878A4" w:rsidP="00AB72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lastRenderedPageBreak/>
              <w:t>Study Guidance</w:t>
            </w:r>
            <w:r w:rsidR="00F31855">
              <w:rPr>
                <w:rFonts w:ascii="Times New Roman" w:eastAsia="Times New Roman" w:hAnsi="Times New Roman" w:cs="Times New Roman"/>
                <w:b/>
                <w:color w:val="073763"/>
              </w:rPr>
              <w:t>:</w:t>
            </w:r>
          </w:p>
        </w:tc>
      </w:tr>
      <w:tr w:rsidR="00F31855" w14:paraId="496D8EF8" w14:textId="77777777" w:rsidTr="00F62E9C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8C47" w14:textId="3FD1207E" w:rsidR="00F31855" w:rsidRDefault="00B32D89" w:rsidP="00AB72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Revision as provided by your teacher</w:t>
            </w:r>
          </w:p>
          <w:p w14:paraId="1B0A96F9" w14:textId="6A298FD0" w:rsidR="00A70862" w:rsidRDefault="00B32D89" w:rsidP="00AB72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Complete </w:t>
            </w:r>
            <w:r w:rsidR="00F80956">
              <w:rPr>
                <w:rFonts w:ascii="Times New Roman" w:eastAsia="Times New Roman" w:hAnsi="Times New Roman" w:cs="Times New Roman"/>
                <w:b/>
                <w:color w:val="073763"/>
              </w:rPr>
              <w:t>“</w:t>
            </w:r>
            <w:r w:rsidR="005778FB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Chapter </w:t>
            </w:r>
            <w:r w:rsidR="00F80956"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Review” sets from the text </w:t>
            </w:r>
          </w:p>
          <w:p w14:paraId="577F1E8A" w14:textId="3AD208EC" w:rsidR="006D5CDB" w:rsidRDefault="006D5CDB" w:rsidP="00AB729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ATOMI </w:t>
            </w:r>
          </w:p>
          <w:p w14:paraId="0E395B3B" w14:textId="0DAABD37" w:rsidR="00B32D89" w:rsidRPr="00A70862" w:rsidRDefault="00B32D89" w:rsidP="006D5CDB">
            <w:pPr>
              <w:pStyle w:val="ListParagraph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073763"/>
              </w:rPr>
            </w:pPr>
          </w:p>
        </w:tc>
      </w:tr>
      <w:tr w:rsidR="00434D23" w14:paraId="1BD35BF6" w14:textId="77777777" w:rsidTr="00F62E9C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2C68" w14:textId="77777777" w:rsidR="00434D23" w:rsidRDefault="00434D23" w:rsidP="00434D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73763"/>
              </w:rPr>
            </w:pPr>
          </w:p>
        </w:tc>
      </w:tr>
      <w:tr w:rsidR="00EB0034" w14:paraId="6DA0E10B" w14:textId="77777777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878C" w14:textId="77777777" w:rsidR="00EB0034" w:rsidRDefault="00785EB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You will be assessed on how well you:</w:t>
            </w:r>
          </w:p>
        </w:tc>
      </w:tr>
      <w:tr w:rsidR="00EB0034" w14:paraId="54CBC973" w14:textId="77777777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655F" w14:textId="77777777" w:rsidR="00EB0034" w:rsidRDefault="00F318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Provide clearly worked solutions that demonstrate understanding of the presented concepts.</w:t>
            </w:r>
          </w:p>
        </w:tc>
      </w:tr>
      <w:tr w:rsidR="00434D23" w14:paraId="04221355" w14:textId="77777777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FC91" w14:textId="77777777" w:rsidR="00434D23" w:rsidRDefault="00434D23" w:rsidP="00434D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73763"/>
              </w:rPr>
            </w:pPr>
          </w:p>
        </w:tc>
      </w:tr>
      <w:tr w:rsidR="00EB0034" w14:paraId="156D360A" w14:textId="77777777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1979" w14:textId="77777777" w:rsidR="00EB0034" w:rsidRDefault="00785EB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Task description:</w:t>
            </w:r>
          </w:p>
        </w:tc>
      </w:tr>
      <w:tr w:rsidR="00EB0034" w14:paraId="48C4ECB4" w14:textId="77777777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E70E" w14:textId="77777777" w:rsidR="00EB0034" w:rsidRDefault="00F31855" w:rsidP="00F31855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 w:rsidRPr="00F31855">
              <w:rPr>
                <w:rFonts w:ascii="Times New Roman" w:eastAsia="Times New Roman" w:hAnsi="Times New Roman" w:cs="Times New Roman"/>
                <w:b/>
                <w:color w:val="073763"/>
              </w:rPr>
              <w:t>Timed written test.</w:t>
            </w:r>
          </w:p>
          <w:p w14:paraId="49914907" w14:textId="446A8173" w:rsidR="00FF6FCF" w:rsidRDefault="00CC7188" w:rsidP="00F31855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Common Section</w:t>
            </w:r>
          </w:p>
          <w:p w14:paraId="53C48F8B" w14:textId="77777777" w:rsidR="00CC7188" w:rsidRDefault="00CC7188" w:rsidP="00F31855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Class Section</w:t>
            </w:r>
          </w:p>
          <w:p w14:paraId="19BED382" w14:textId="0BF98021" w:rsidR="0053558A" w:rsidRPr="00F31855" w:rsidRDefault="006D5CDB" w:rsidP="00F31855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A </w:t>
            </w:r>
            <w:r w:rsidR="0053558A">
              <w:rPr>
                <w:rFonts w:ascii="Times New Roman" w:eastAsia="Times New Roman" w:hAnsi="Times New Roman" w:cs="Times New Roman"/>
                <w:b/>
                <w:color w:val="073763"/>
              </w:rPr>
              <w:t>Reference Sheet</w:t>
            </w: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will be provided</w:t>
            </w:r>
          </w:p>
        </w:tc>
      </w:tr>
      <w:tr w:rsidR="00EB0034" w14:paraId="10DA365E" w14:textId="77777777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37A2" w14:textId="77777777" w:rsidR="00EB0034" w:rsidRDefault="00785EB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Submission/equipment required:</w:t>
            </w:r>
          </w:p>
        </w:tc>
      </w:tr>
      <w:tr w:rsidR="00EB0034" w14:paraId="0F8318CC" w14:textId="77777777">
        <w:tc>
          <w:tcPr>
            <w:tcW w:w="10800" w:type="dxa"/>
            <w:gridSpan w:val="4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7903" w14:textId="2A247AAA" w:rsidR="004B6542" w:rsidRPr="006D5CDB" w:rsidRDefault="00F31855" w:rsidP="006D5CDB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Calculator</w:t>
            </w:r>
          </w:p>
        </w:tc>
      </w:tr>
    </w:tbl>
    <w:p w14:paraId="335B0022" w14:textId="77777777" w:rsidR="00EB0034" w:rsidRDefault="00EB0034">
      <w:pPr>
        <w:spacing w:after="200" w:line="276" w:lineRule="auto"/>
        <w:rPr>
          <w:rFonts w:ascii="Times New Roman" w:eastAsia="Times New Roman" w:hAnsi="Times New Roman" w:cs="Times New Roman"/>
          <w:b/>
          <w:color w:val="073763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EB0034" w14:paraId="1BC175EF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F0C4" w14:textId="77777777" w:rsidR="00EB0034" w:rsidRDefault="00785EB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Feedback (after task completion):</w:t>
            </w:r>
          </w:p>
        </w:tc>
      </w:tr>
      <w:tr w:rsidR="00EB0034" w14:paraId="4A5BC3B1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066C" w14:textId="77777777" w:rsidR="00EB0034" w:rsidRDefault="00F31855" w:rsidP="00F3185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A mark</w:t>
            </w:r>
          </w:p>
          <w:p w14:paraId="18C14AB5" w14:textId="77777777" w:rsidR="00F31855" w:rsidRPr="00F31855" w:rsidRDefault="00F31855" w:rsidP="00F3185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Written or verba</w:t>
            </w:r>
            <w:r w:rsidR="001878A4">
              <w:rPr>
                <w:rFonts w:ascii="Times New Roman" w:eastAsia="Times New Roman" w:hAnsi="Times New Roman" w:cs="Times New Roman"/>
                <w:b/>
                <w:color w:val="07376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l</w:t>
            </w:r>
            <w:r w:rsidR="001878A4">
              <w:rPr>
                <w:rFonts w:ascii="Times New Roman" w:eastAsia="Times New Roman" w:hAnsi="Times New Roman" w:cs="Times New Roman"/>
                <w:b/>
                <w:color w:val="073763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modelled </w:t>
            </w:r>
            <w:r w:rsidR="001878A4">
              <w:rPr>
                <w:rFonts w:ascii="Times New Roman" w:eastAsia="Times New Roman" w:hAnsi="Times New Roman" w:cs="Times New Roman"/>
                <w:b/>
                <w:color w:val="073763"/>
              </w:rPr>
              <w:t>answers</w:t>
            </w: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 xml:space="preserve"> demonstrating an appropriate method of solution</w:t>
            </w:r>
            <w:r w:rsidR="001878A4">
              <w:rPr>
                <w:rFonts w:ascii="Times New Roman" w:eastAsia="Times New Roman" w:hAnsi="Times New Roman" w:cs="Times New Roman"/>
                <w:b/>
                <w:color w:val="073763"/>
              </w:rPr>
              <w:t>.</w:t>
            </w:r>
          </w:p>
        </w:tc>
      </w:tr>
    </w:tbl>
    <w:p w14:paraId="3D6F3125" w14:textId="77777777" w:rsidR="00EB0034" w:rsidRDefault="00EB0034">
      <w:pPr>
        <w:spacing w:after="200" w:line="276" w:lineRule="auto"/>
        <w:rPr>
          <w:rFonts w:ascii="Times New Roman" w:eastAsia="Times New Roman" w:hAnsi="Times New Roman" w:cs="Times New Roman"/>
          <w:b/>
          <w:color w:val="073763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0"/>
      </w:tblGrid>
      <w:tr w:rsidR="00EB0034" w14:paraId="0FB754E4" w14:textId="77777777">
        <w:tc>
          <w:tcPr>
            <w:tcW w:w="10800" w:type="dxa"/>
            <w:tcBorders>
              <w:top w:val="single" w:sz="8" w:space="0" w:color="073763"/>
              <w:left w:val="single" w:sz="8" w:space="0" w:color="073763"/>
              <w:bottom w:val="single" w:sz="8" w:space="0" w:color="073763"/>
              <w:right w:val="single" w:sz="8" w:space="0" w:color="07376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D3C18" w14:textId="77777777" w:rsidR="00EB0034" w:rsidRDefault="00785EB6" w:rsidP="00277D93">
            <w:pPr>
              <w:shd w:val="clear" w:color="auto" w:fill="FFFFFF"/>
              <w:spacing w:after="0" w:line="331" w:lineRule="auto"/>
              <w:rPr>
                <w:rFonts w:ascii="Times New Roman" w:eastAsia="Times New Roman" w:hAnsi="Times New Roman" w:cs="Times New Roman"/>
                <w:i/>
                <w:color w:val="073763"/>
              </w:rPr>
            </w:pPr>
            <w:r>
              <w:rPr>
                <w:rFonts w:ascii="Times New Roman" w:eastAsia="Times New Roman" w:hAnsi="Times New Roman" w:cs="Times New Roman"/>
                <w:i/>
                <w:color w:val="242424"/>
              </w:rPr>
              <w:t xml:space="preserve">NOTE: This is a compulsory assessment task. You are required to be in attendance on the above date to </w:t>
            </w:r>
            <w:r w:rsidR="00277D93">
              <w:rPr>
                <w:rFonts w:ascii="Times New Roman" w:eastAsia="Times New Roman" w:hAnsi="Times New Roman" w:cs="Times New Roman"/>
                <w:i/>
                <w:color w:val="242424"/>
              </w:rPr>
              <w:t xml:space="preserve">make a genuine attempt to </w:t>
            </w:r>
            <w:r>
              <w:rPr>
                <w:rFonts w:ascii="Times New Roman" w:eastAsia="Times New Roman" w:hAnsi="Times New Roman" w:cs="Times New Roman"/>
                <w:i/>
                <w:color w:val="242424"/>
              </w:rPr>
              <w:t>complete the task. Failing to do so may result in</w:t>
            </w:r>
            <w:r w:rsidR="00277D93">
              <w:rPr>
                <w:rFonts w:ascii="Times New Roman" w:eastAsia="Times New Roman" w:hAnsi="Times New Roman" w:cs="Times New Roman"/>
                <w:i/>
                <w:color w:val="242424"/>
              </w:rPr>
              <w:t xml:space="preserve"> one or more of the following: a</w:t>
            </w:r>
            <w:r>
              <w:rPr>
                <w:rFonts w:ascii="Times New Roman" w:eastAsia="Times New Roman" w:hAnsi="Times New Roman" w:cs="Times New Roman"/>
                <w:i/>
                <w:color w:val="242424"/>
              </w:rPr>
              <w:t xml:space="preserve"> </w:t>
            </w:r>
            <w:r w:rsidR="00056FEB">
              <w:rPr>
                <w:rFonts w:ascii="Times New Roman" w:eastAsia="Times New Roman" w:hAnsi="Times New Roman" w:cs="Times New Roman"/>
                <w:i/>
                <w:color w:val="242424"/>
              </w:rPr>
              <w:t>loss of marks</w:t>
            </w:r>
            <w:r w:rsidR="00277D93">
              <w:rPr>
                <w:rFonts w:ascii="Times New Roman" w:eastAsia="Times New Roman" w:hAnsi="Times New Roman" w:cs="Times New Roman"/>
                <w:i/>
                <w:color w:val="242424"/>
              </w:rPr>
              <w:t>, a non-attempt designation, and / or completing the task for reduced or zero marks.</w:t>
            </w:r>
            <w:r>
              <w:rPr>
                <w:rFonts w:ascii="Times New Roman" w:eastAsia="Times New Roman" w:hAnsi="Times New Roman" w:cs="Times New Roman"/>
                <w:i/>
                <w:color w:val="242424"/>
              </w:rPr>
              <w:t xml:space="preserve"> If you will be away on the day, you are required to arrange an extension in advance with your class teache</w:t>
            </w:r>
            <w:r w:rsidR="00056FEB">
              <w:rPr>
                <w:rFonts w:ascii="Times New Roman" w:eastAsia="Times New Roman" w:hAnsi="Times New Roman" w:cs="Times New Roman"/>
                <w:i/>
                <w:color w:val="242424"/>
              </w:rPr>
              <w:t xml:space="preserve">r. You may be required to deliver an </w:t>
            </w:r>
            <w:r>
              <w:rPr>
                <w:rFonts w:ascii="Times New Roman" w:eastAsia="Times New Roman" w:hAnsi="Times New Roman" w:cs="Times New Roman"/>
                <w:i/>
                <w:color w:val="242424"/>
              </w:rPr>
              <w:t xml:space="preserve">alternate submission. If you are away from school on the day of the examination due to an unplanned event, you are required to provide your teacher with a note from a parent/caregiver when you return. </w:t>
            </w:r>
            <w:r>
              <w:rPr>
                <w:rFonts w:ascii="Times New Roman" w:eastAsia="Times New Roman" w:hAnsi="Times New Roman" w:cs="Times New Roman"/>
                <w:i/>
              </w:rPr>
              <w:t>All assessment protocols, found in the Assessment Handbook, will be followed.</w:t>
            </w:r>
          </w:p>
        </w:tc>
      </w:tr>
    </w:tbl>
    <w:p w14:paraId="07405F29" w14:textId="76542DBD" w:rsidR="00EB0034" w:rsidRDefault="00EB0034">
      <w:pPr>
        <w:spacing w:after="200" w:line="240" w:lineRule="auto"/>
        <w:rPr>
          <w:rFonts w:ascii="Times New Roman" w:eastAsia="Times New Roman" w:hAnsi="Times New Roman" w:cs="Times New Roman"/>
          <w:b/>
          <w:color w:val="073763"/>
        </w:rPr>
      </w:pPr>
    </w:p>
    <w:p w14:paraId="166BA4AC" w14:textId="3A991B73" w:rsidR="006D5CDB" w:rsidRDefault="006D5CDB">
      <w:pPr>
        <w:spacing w:after="200" w:line="240" w:lineRule="auto"/>
        <w:rPr>
          <w:rFonts w:ascii="Times New Roman" w:eastAsia="Times New Roman" w:hAnsi="Times New Roman" w:cs="Times New Roman"/>
          <w:b/>
          <w:color w:val="073763"/>
        </w:rPr>
      </w:pPr>
    </w:p>
    <w:p w14:paraId="1EBED0C3" w14:textId="195B9558" w:rsidR="006D5CDB" w:rsidRDefault="006D5CDB">
      <w:pPr>
        <w:spacing w:after="200" w:line="240" w:lineRule="auto"/>
        <w:rPr>
          <w:rFonts w:ascii="Times New Roman" w:eastAsia="Times New Roman" w:hAnsi="Times New Roman" w:cs="Times New Roman"/>
          <w:b/>
          <w:color w:val="073763"/>
        </w:rPr>
      </w:pPr>
    </w:p>
    <w:p w14:paraId="697D15E7" w14:textId="7EBE1CF3" w:rsidR="006D5CDB" w:rsidRDefault="006D5CDB">
      <w:pPr>
        <w:spacing w:after="200" w:line="240" w:lineRule="auto"/>
        <w:rPr>
          <w:rFonts w:ascii="Times New Roman" w:eastAsia="Times New Roman" w:hAnsi="Times New Roman" w:cs="Times New Roman"/>
          <w:b/>
          <w:color w:val="073763"/>
        </w:rPr>
      </w:pPr>
    </w:p>
    <w:p w14:paraId="5E6994E8" w14:textId="13826139" w:rsidR="006D5CDB" w:rsidRDefault="006D5CDB">
      <w:pPr>
        <w:spacing w:after="200" w:line="240" w:lineRule="auto"/>
        <w:rPr>
          <w:rFonts w:ascii="Times New Roman" w:eastAsia="Times New Roman" w:hAnsi="Times New Roman" w:cs="Times New Roman"/>
          <w:b/>
          <w:color w:val="073763"/>
        </w:rPr>
      </w:pPr>
    </w:p>
    <w:p w14:paraId="0BD8927D" w14:textId="77777777" w:rsidR="006D5CDB" w:rsidRDefault="006D5CDB">
      <w:pPr>
        <w:spacing w:after="200" w:line="240" w:lineRule="auto"/>
        <w:rPr>
          <w:rFonts w:ascii="Times New Roman" w:eastAsia="Times New Roman" w:hAnsi="Times New Roman" w:cs="Times New Roman"/>
          <w:b/>
          <w:color w:val="073763"/>
        </w:rPr>
      </w:pPr>
      <w:bookmarkStart w:id="0" w:name="_GoBack"/>
      <w:bookmarkEnd w:id="0"/>
    </w:p>
    <w:sectPr w:rsidR="006D5CDB">
      <w:pgSz w:w="12240" w:h="15840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B35"/>
    <w:multiLevelType w:val="hybridMultilevel"/>
    <w:tmpl w:val="39C6A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165"/>
    <w:multiLevelType w:val="hybridMultilevel"/>
    <w:tmpl w:val="D952C020"/>
    <w:lvl w:ilvl="0" w:tplc="854429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FB15AD"/>
    <w:multiLevelType w:val="hybridMultilevel"/>
    <w:tmpl w:val="61186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43F57"/>
    <w:multiLevelType w:val="hybridMultilevel"/>
    <w:tmpl w:val="3A30A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2189"/>
    <w:multiLevelType w:val="hybridMultilevel"/>
    <w:tmpl w:val="424A8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111B1"/>
    <w:multiLevelType w:val="multilevel"/>
    <w:tmpl w:val="DB7E0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0824C5"/>
    <w:multiLevelType w:val="multilevel"/>
    <w:tmpl w:val="906E4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34"/>
    <w:rsid w:val="00056FEB"/>
    <w:rsid w:val="0011196A"/>
    <w:rsid w:val="0012208E"/>
    <w:rsid w:val="001878A4"/>
    <w:rsid w:val="001B2CD9"/>
    <w:rsid w:val="001D2D28"/>
    <w:rsid w:val="00216C30"/>
    <w:rsid w:val="00277D93"/>
    <w:rsid w:val="002D24BB"/>
    <w:rsid w:val="0030234F"/>
    <w:rsid w:val="00334CF0"/>
    <w:rsid w:val="00341AF3"/>
    <w:rsid w:val="0034299E"/>
    <w:rsid w:val="004106FE"/>
    <w:rsid w:val="00434D23"/>
    <w:rsid w:val="004B6542"/>
    <w:rsid w:val="00507053"/>
    <w:rsid w:val="0053558A"/>
    <w:rsid w:val="005457F3"/>
    <w:rsid w:val="005778FB"/>
    <w:rsid w:val="005A2BD6"/>
    <w:rsid w:val="005F3ECA"/>
    <w:rsid w:val="00616A7D"/>
    <w:rsid w:val="0063099F"/>
    <w:rsid w:val="00633C9A"/>
    <w:rsid w:val="006D5CDB"/>
    <w:rsid w:val="006F22C9"/>
    <w:rsid w:val="00785EB6"/>
    <w:rsid w:val="007A0664"/>
    <w:rsid w:val="007B7145"/>
    <w:rsid w:val="007C1C9C"/>
    <w:rsid w:val="00825291"/>
    <w:rsid w:val="009205FA"/>
    <w:rsid w:val="00941624"/>
    <w:rsid w:val="00990148"/>
    <w:rsid w:val="009E73BB"/>
    <w:rsid w:val="00A70862"/>
    <w:rsid w:val="00A74FFE"/>
    <w:rsid w:val="00A910B9"/>
    <w:rsid w:val="00B12CE1"/>
    <w:rsid w:val="00B32D89"/>
    <w:rsid w:val="00B4104A"/>
    <w:rsid w:val="00BA0FA6"/>
    <w:rsid w:val="00BB3349"/>
    <w:rsid w:val="00BF2680"/>
    <w:rsid w:val="00CA2D84"/>
    <w:rsid w:val="00CC7188"/>
    <w:rsid w:val="00D1576E"/>
    <w:rsid w:val="00D77AF2"/>
    <w:rsid w:val="00DF44B9"/>
    <w:rsid w:val="00E52AE6"/>
    <w:rsid w:val="00EB0034"/>
    <w:rsid w:val="00EB5791"/>
    <w:rsid w:val="00EC3F03"/>
    <w:rsid w:val="00F31855"/>
    <w:rsid w:val="00F4028C"/>
    <w:rsid w:val="00F526CD"/>
    <w:rsid w:val="00F62E9C"/>
    <w:rsid w:val="00F80956"/>
    <w:rsid w:val="00FD04BB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4539"/>
  <w15:docId w15:val="{CF54D46E-F0FD-44FD-A68A-92464C4F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318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2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84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00499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370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54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4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07093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18416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26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3101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85247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17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6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5808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27313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602307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BA322B2D6894F82301C0563BCA433" ma:contentTypeVersion="15" ma:contentTypeDescription="Create a new document." ma:contentTypeScope="" ma:versionID="f3cb19297000baee2034d2ebae07048e">
  <xsd:schema xmlns:xsd="http://www.w3.org/2001/XMLSchema" xmlns:xs="http://www.w3.org/2001/XMLSchema" xmlns:p="http://schemas.microsoft.com/office/2006/metadata/properties" xmlns:ns2="3384683a-9fde-484d-b378-9f048a725adf" xmlns:ns3="289bd8cb-bf3e-4c68-8cb0-cb253bbe17bd" targetNamespace="http://schemas.microsoft.com/office/2006/metadata/properties" ma:root="true" ma:fieldsID="6657f65836b4631949eaf12e87ccaba4" ns2:_="" ns3:_="">
    <xsd:import namespace="3384683a-9fde-484d-b378-9f048a725adf"/>
    <xsd:import namespace="289bd8cb-bf3e-4c68-8cb0-cb253bbe1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4683a-9fde-484d-b378-9f048a725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d8cb-bf3e-4c68-8cb0-cb253bbe17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9c061a-d0dc-44d6-9db8-c0fa61345295}" ma:internalName="TaxCatchAll" ma:showField="CatchAllData" ma:web="289bd8cb-bf3e-4c68-8cb0-cb253bbe1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4683a-9fde-484d-b378-9f048a725adf">
      <Terms xmlns="http://schemas.microsoft.com/office/infopath/2007/PartnerControls"/>
    </lcf76f155ced4ddcb4097134ff3c332f>
    <TaxCatchAll xmlns="289bd8cb-bf3e-4c68-8cb0-cb253bbe17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04186-1B7E-487F-BF0E-3607A9B2C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4683a-9fde-484d-b378-9f048a725adf"/>
    <ds:schemaRef ds:uri="289bd8cb-bf3e-4c68-8cb0-cb253bbe1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1444C-7E07-4024-8C98-319086761549}">
  <ds:schemaRefs>
    <ds:schemaRef ds:uri="http://purl.org/dc/dcmitype/"/>
    <ds:schemaRef ds:uri="3384683a-9fde-484d-b378-9f048a725adf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89bd8cb-bf3e-4c68-8cb0-cb253bbe17b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FFC7B0-9BE0-4BBB-90FE-876DF2442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Eshman</dc:creator>
  <cp:lastModifiedBy>Jason Eshman</cp:lastModifiedBy>
  <cp:revision>2</cp:revision>
  <cp:lastPrinted>2024-10-30T22:14:00Z</cp:lastPrinted>
  <dcterms:created xsi:type="dcterms:W3CDTF">2024-10-30T22:25:00Z</dcterms:created>
  <dcterms:modified xsi:type="dcterms:W3CDTF">2024-10-30T22:25:00Z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0x010100A5ABA322B2D6894F82301C0563BCA433</vt:lpwstr>
  </property>
  <property fmtid="{D5CDD505-2E9C-101B-9397-08002B2CF9AE}" pid="3" name="MediaServiceImageTags">
    <vt:lpwstr/>
  </property>
</Properties>
</file>